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D96" w:rsidRPr="00D23D96" w:rsidRDefault="00D23D96" w:rsidP="00D23D96">
      <w:pPr>
        <w:widowControl/>
        <w:spacing w:line="0" w:lineRule="atLeast"/>
        <w:jc w:val="center"/>
        <w:rPr>
          <w:rFonts w:ascii="標楷體" w:hAnsi="標楷體"/>
          <w:b/>
          <w:color w:val="0D0D0D" w:themeColor="text1" w:themeTint="F2"/>
          <w:kern w:val="2"/>
          <w:sz w:val="28"/>
          <w:szCs w:val="28"/>
        </w:rPr>
      </w:pPr>
      <w:r w:rsidRPr="00F96399">
        <w:rPr>
          <w:rFonts w:ascii="標楷體" w:hAnsi="標楷體" w:hint="eastAsia"/>
          <w:b/>
          <w:color w:val="0D0D0D" w:themeColor="text1" w:themeTint="F2"/>
          <w:kern w:val="2"/>
          <w:sz w:val="28"/>
          <w:szCs w:val="28"/>
        </w:rPr>
        <w:t>國立高雄科技大學博雅教育中心課程委員會設置要點</w:t>
      </w:r>
    </w:p>
    <w:p w:rsidR="00D23D96" w:rsidRPr="00F96399" w:rsidRDefault="00D23D96" w:rsidP="00D23D96">
      <w:pPr>
        <w:widowControl/>
        <w:spacing w:beforeLines="50" w:before="180"/>
        <w:jc w:val="right"/>
        <w:rPr>
          <w:color w:val="0D0D0D" w:themeColor="text1" w:themeTint="F2"/>
          <w:kern w:val="2"/>
          <w:sz w:val="20"/>
          <w:szCs w:val="20"/>
        </w:rPr>
      </w:pPr>
      <w:r w:rsidRPr="00F96399">
        <w:rPr>
          <w:rFonts w:ascii="標楷體" w:hAnsi="標楷體" w:hint="eastAsia"/>
          <w:b/>
          <w:color w:val="0D0D0D" w:themeColor="text1" w:themeTint="F2"/>
          <w:kern w:val="2"/>
          <w:sz w:val="28"/>
          <w:szCs w:val="28"/>
        </w:rPr>
        <w:t xml:space="preserve">             </w:t>
      </w:r>
      <w:r>
        <w:rPr>
          <w:color w:val="0D0D0D" w:themeColor="text1" w:themeTint="F2"/>
          <w:kern w:val="2"/>
          <w:sz w:val="20"/>
          <w:szCs w:val="20"/>
        </w:rPr>
        <w:t>10</w:t>
      </w:r>
      <w:r>
        <w:rPr>
          <w:rFonts w:hint="eastAsia"/>
          <w:color w:val="0D0D0D" w:themeColor="text1" w:themeTint="F2"/>
          <w:kern w:val="2"/>
          <w:sz w:val="20"/>
          <w:szCs w:val="20"/>
        </w:rPr>
        <w:t>8</w:t>
      </w:r>
      <w:r w:rsidRPr="00F96399">
        <w:rPr>
          <w:color w:val="0D0D0D" w:themeColor="text1" w:themeTint="F2"/>
          <w:kern w:val="2"/>
          <w:sz w:val="20"/>
          <w:szCs w:val="20"/>
        </w:rPr>
        <w:t>年</w:t>
      </w:r>
      <w:r w:rsidR="006A19FB">
        <w:rPr>
          <w:rFonts w:hint="eastAsia"/>
          <w:color w:val="0D0D0D" w:themeColor="text1" w:themeTint="F2"/>
          <w:kern w:val="2"/>
          <w:sz w:val="20"/>
          <w:szCs w:val="20"/>
        </w:rPr>
        <w:t>3</w:t>
      </w:r>
      <w:r w:rsidRPr="00F96399">
        <w:rPr>
          <w:color w:val="0D0D0D" w:themeColor="text1" w:themeTint="F2"/>
          <w:kern w:val="2"/>
          <w:sz w:val="20"/>
          <w:szCs w:val="20"/>
        </w:rPr>
        <w:t>月</w:t>
      </w:r>
      <w:r w:rsidR="006A19FB">
        <w:rPr>
          <w:rFonts w:hint="eastAsia"/>
          <w:color w:val="0D0D0D" w:themeColor="text1" w:themeTint="F2"/>
          <w:kern w:val="2"/>
          <w:sz w:val="20"/>
          <w:szCs w:val="20"/>
        </w:rPr>
        <w:t>18</w:t>
      </w:r>
      <w:r w:rsidRPr="00F96399">
        <w:rPr>
          <w:color w:val="0D0D0D" w:themeColor="text1" w:themeTint="F2"/>
          <w:kern w:val="2"/>
          <w:sz w:val="20"/>
          <w:szCs w:val="20"/>
        </w:rPr>
        <w:t>日</w:t>
      </w:r>
      <w:r>
        <w:rPr>
          <w:color w:val="0D0D0D" w:themeColor="text1" w:themeTint="F2"/>
          <w:kern w:val="2"/>
          <w:sz w:val="20"/>
          <w:szCs w:val="20"/>
        </w:rPr>
        <w:t>10</w:t>
      </w:r>
      <w:r>
        <w:rPr>
          <w:rFonts w:hint="eastAsia"/>
          <w:color w:val="0D0D0D" w:themeColor="text1" w:themeTint="F2"/>
          <w:kern w:val="2"/>
          <w:sz w:val="20"/>
          <w:szCs w:val="20"/>
        </w:rPr>
        <w:t>7</w:t>
      </w:r>
      <w:r w:rsidRPr="00F96399">
        <w:rPr>
          <w:color w:val="0D0D0D" w:themeColor="text1" w:themeTint="F2"/>
          <w:kern w:val="2"/>
          <w:sz w:val="20"/>
          <w:szCs w:val="20"/>
        </w:rPr>
        <w:t>學年度第</w:t>
      </w:r>
      <w:r w:rsidRPr="00F96399">
        <w:rPr>
          <w:rFonts w:hint="eastAsia"/>
          <w:color w:val="0D0D0D" w:themeColor="text1" w:themeTint="F2"/>
          <w:kern w:val="2"/>
          <w:sz w:val="20"/>
          <w:szCs w:val="20"/>
        </w:rPr>
        <w:t>1</w:t>
      </w:r>
      <w:r w:rsidRPr="00F96399">
        <w:rPr>
          <w:color w:val="0D0D0D" w:themeColor="text1" w:themeTint="F2"/>
          <w:kern w:val="2"/>
          <w:sz w:val="20"/>
          <w:szCs w:val="20"/>
        </w:rPr>
        <w:t>次</w:t>
      </w:r>
      <w:r w:rsidRPr="00701D69">
        <w:rPr>
          <w:rFonts w:hint="eastAsia"/>
          <w:color w:val="0D0D0D" w:themeColor="text1" w:themeTint="F2"/>
          <w:kern w:val="2"/>
          <w:sz w:val="20"/>
          <w:szCs w:val="20"/>
        </w:rPr>
        <w:t>院</w:t>
      </w:r>
      <w:proofErr w:type="gramStart"/>
      <w:r w:rsidRPr="00701D69">
        <w:rPr>
          <w:rFonts w:hint="eastAsia"/>
          <w:color w:val="0D0D0D" w:themeColor="text1" w:themeTint="F2"/>
          <w:kern w:val="2"/>
          <w:sz w:val="20"/>
          <w:szCs w:val="20"/>
        </w:rPr>
        <w:t>務</w:t>
      </w:r>
      <w:proofErr w:type="gramEnd"/>
      <w:r w:rsidRPr="00701D69">
        <w:rPr>
          <w:color w:val="0D0D0D" w:themeColor="text1" w:themeTint="F2"/>
          <w:kern w:val="2"/>
          <w:sz w:val="20"/>
          <w:szCs w:val="20"/>
        </w:rPr>
        <w:t>會議通</w:t>
      </w:r>
      <w:r w:rsidRPr="00F96399">
        <w:rPr>
          <w:color w:val="0D0D0D" w:themeColor="text1" w:themeTint="F2"/>
          <w:kern w:val="2"/>
          <w:sz w:val="20"/>
          <w:szCs w:val="20"/>
        </w:rPr>
        <w:t>過</w:t>
      </w:r>
    </w:p>
    <w:p w:rsidR="00D23D96" w:rsidRPr="00F96399" w:rsidRDefault="00D23D96" w:rsidP="00D23D96">
      <w:pPr>
        <w:widowControl/>
        <w:numPr>
          <w:ilvl w:val="0"/>
          <w:numId w:val="1"/>
        </w:numPr>
        <w:spacing w:beforeLines="30" w:before="108" w:after="100" w:afterAutospacing="1"/>
        <w:rPr>
          <w:rFonts w:ascii="標楷體" w:hAnsi="標楷體"/>
          <w:color w:val="0D0D0D" w:themeColor="text1" w:themeTint="F2"/>
          <w:kern w:val="2"/>
          <w:sz w:val="24"/>
          <w:szCs w:val="22"/>
        </w:rPr>
      </w:pPr>
      <w:r>
        <w:rPr>
          <w:rFonts w:ascii="標楷體" w:hAnsi="標楷體" w:hint="eastAsia"/>
          <w:color w:val="0D0D0D" w:themeColor="text1" w:themeTint="F2"/>
          <w:kern w:val="2"/>
          <w:sz w:val="24"/>
          <w:szCs w:val="22"/>
        </w:rPr>
        <w:t>博雅</w:t>
      </w:r>
      <w:r w:rsidRPr="00F96399">
        <w:rPr>
          <w:rFonts w:ascii="標楷體" w:hAnsi="標楷體" w:hint="eastAsia"/>
          <w:color w:val="0D0D0D" w:themeColor="text1" w:themeTint="F2"/>
          <w:kern w:val="2"/>
          <w:sz w:val="24"/>
          <w:szCs w:val="22"/>
        </w:rPr>
        <w:t>教育中心課程委員會（以下簡稱本委員會），依據國立高雄科技大學</w:t>
      </w:r>
      <w:r w:rsidRPr="00F96399">
        <w:rPr>
          <w:rFonts w:ascii="標楷體" w:hAnsi="標楷體"/>
          <w:color w:val="0D0D0D" w:themeColor="text1" w:themeTint="F2"/>
          <w:kern w:val="2"/>
          <w:sz w:val="24"/>
          <w:szCs w:val="22"/>
        </w:rPr>
        <w:t>(</w:t>
      </w:r>
      <w:r w:rsidRPr="00F96399">
        <w:rPr>
          <w:rFonts w:ascii="標楷體" w:hAnsi="標楷體" w:hint="eastAsia"/>
          <w:color w:val="0D0D0D" w:themeColor="text1" w:themeTint="F2"/>
          <w:kern w:val="2"/>
          <w:sz w:val="24"/>
          <w:szCs w:val="22"/>
        </w:rPr>
        <w:t>以下簡稱本校</w:t>
      </w:r>
      <w:r w:rsidRPr="00F96399">
        <w:rPr>
          <w:rFonts w:ascii="標楷體" w:hAnsi="標楷體"/>
          <w:color w:val="0D0D0D" w:themeColor="text1" w:themeTint="F2"/>
          <w:kern w:val="2"/>
          <w:sz w:val="24"/>
          <w:szCs w:val="22"/>
        </w:rPr>
        <w:t>)</w:t>
      </w:r>
      <w:r w:rsidRPr="00F96399">
        <w:rPr>
          <w:rFonts w:ascii="標楷體" w:hAnsi="標楷體" w:hint="eastAsia"/>
          <w:color w:val="0D0D0D" w:themeColor="text1" w:themeTint="F2"/>
          <w:kern w:val="2"/>
          <w:sz w:val="24"/>
          <w:szCs w:val="22"/>
        </w:rPr>
        <w:t>課程委員會設置要點第</w:t>
      </w:r>
      <w:r>
        <w:rPr>
          <w:rFonts w:ascii="標楷體" w:hAnsi="標楷體" w:hint="eastAsia"/>
          <w:color w:val="0D0D0D" w:themeColor="text1" w:themeTint="F2"/>
          <w:kern w:val="2"/>
          <w:sz w:val="24"/>
          <w:szCs w:val="22"/>
        </w:rPr>
        <w:t>二</w:t>
      </w:r>
      <w:r w:rsidRPr="00F96399">
        <w:rPr>
          <w:rFonts w:ascii="標楷體" w:hAnsi="標楷體" w:hint="eastAsia"/>
          <w:color w:val="0D0D0D" w:themeColor="text1" w:themeTint="F2"/>
          <w:kern w:val="2"/>
          <w:sz w:val="24"/>
          <w:szCs w:val="22"/>
        </w:rPr>
        <w:t>點規定設立。</w:t>
      </w:r>
    </w:p>
    <w:p w:rsidR="00D23D96" w:rsidRPr="00F96399" w:rsidRDefault="00D23D96" w:rsidP="00D23D96">
      <w:pPr>
        <w:widowControl/>
        <w:numPr>
          <w:ilvl w:val="0"/>
          <w:numId w:val="1"/>
        </w:numPr>
        <w:spacing w:beforeLines="30" w:before="108" w:after="100" w:afterAutospacing="1"/>
        <w:ind w:hanging="482"/>
        <w:rPr>
          <w:rFonts w:ascii="標楷體" w:hAnsi="標楷體"/>
          <w:color w:val="0D0D0D" w:themeColor="text1" w:themeTint="F2"/>
          <w:kern w:val="2"/>
          <w:sz w:val="24"/>
          <w:szCs w:val="22"/>
        </w:rPr>
      </w:pPr>
      <w:r w:rsidRPr="00F96399">
        <w:rPr>
          <w:rFonts w:ascii="標楷體" w:hAnsi="標楷體" w:hint="eastAsia"/>
          <w:color w:val="0D0D0D" w:themeColor="text1" w:themeTint="F2"/>
          <w:kern w:val="2"/>
          <w:sz w:val="24"/>
          <w:szCs w:val="22"/>
        </w:rPr>
        <w:t>本委員會之主要職掌如下：</w:t>
      </w:r>
    </w:p>
    <w:p w:rsidR="00D23D96" w:rsidRPr="005E5A7B" w:rsidRDefault="006A19FB" w:rsidP="00D23D96">
      <w:pPr>
        <w:widowControl/>
        <w:numPr>
          <w:ilvl w:val="1"/>
          <w:numId w:val="1"/>
        </w:numPr>
        <w:spacing w:beforeLines="30" w:before="108" w:after="100" w:afterAutospacing="1"/>
        <w:rPr>
          <w:rFonts w:ascii="標楷體" w:hAnsi="標楷體"/>
          <w:color w:val="0D0D0D" w:themeColor="text1" w:themeTint="F2"/>
          <w:kern w:val="2"/>
          <w:sz w:val="24"/>
          <w:szCs w:val="22"/>
        </w:rPr>
      </w:pPr>
      <w:r>
        <w:rPr>
          <w:rFonts w:ascii="標楷體" w:hAnsi="標楷體" w:hint="eastAsia"/>
          <w:color w:val="0D0D0D" w:themeColor="text1" w:themeTint="F2"/>
          <w:kern w:val="2"/>
          <w:sz w:val="24"/>
          <w:szCs w:val="22"/>
        </w:rPr>
        <w:t>本</w:t>
      </w:r>
      <w:r w:rsidR="00D23D96" w:rsidRPr="005E5A7B">
        <w:rPr>
          <w:rFonts w:ascii="標楷體" w:hAnsi="標楷體" w:hint="eastAsia"/>
          <w:color w:val="0D0D0D" w:themeColor="text1" w:themeTint="F2"/>
          <w:kern w:val="2"/>
          <w:sz w:val="24"/>
          <w:szCs w:val="22"/>
        </w:rPr>
        <w:t>中心教學及課程相關之規劃、協調及審議。</w:t>
      </w:r>
    </w:p>
    <w:p w:rsidR="00D23D96" w:rsidRPr="005E5A7B" w:rsidRDefault="00D23D96" w:rsidP="00D23D96">
      <w:pPr>
        <w:widowControl/>
        <w:numPr>
          <w:ilvl w:val="1"/>
          <w:numId w:val="1"/>
        </w:numPr>
        <w:spacing w:beforeLines="30" w:before="108" w:after="100" w:afterAutospacing="1"/>
        <w:rPr>
          <w:rFonts w:ascii="標楷體" w:hAnsi="標楷體"/>
          <w:color w:val="0D0D0D" w:themeColor="text1" w:themeTint="F2"/>
          <w:kern w:val="2"/>
          <w:sz w:val="24"/>
          <w:szCs w:val="22"/>
        </w:rPr>
      </w:pPr>
      <w:r w:rsidRPr="005E5A7B">
        <w:rPr>
          <w:rFonts w:ascii="標楷體" w:hAnsi="標楷體" w:hint="eastAsia"/>
          <w:color w:val="0D0D0D" w:themeColor="text1" w:themeTint="F2"/>
          <w:kern w:val="2"/>
          <w:sz w:val="24"/>
          <w:szCs w:val="22"/>
        </w:rPr>
        <w:t>本中心課程大綱之審議及課程結構之規劃。</w:t>
      </w:r>
    </w:p>
    <w:p w:rsidR="00D23D96" w:rsidRPr="005E5A7B" w:rsidRDefault="00D23D96" w:rsidP="00D23D96">
      <w:pPr>
        <w:widowControl/>
        <w:numPr>
          <w:ilvl w:val="1"/>
          <w:numId w:val="1"/>
        </w:numPr>
        <w:spacing w:beforeLines="30" w:before="108" w:after="100" w:afterAutospacing="1"/>
        <w:rPr>
          <w:rFonts w:ascii="標楷體" w:hAnsi="標楷體"/>
          <w:color w:val="0D0D0D" w:themeColor="text1" w:themeTint="F2"/>
          <w:kern w:val="2"/>
          <w:sz w:val="24"/>
          <w:szCs w:val="22"/>
        </w:rPr>
      </w:pPr>
      <w:r w:rsidRPr="005E5A7B">
        <w:rPr>
          <w:rFonts w:ascii="標楷體" w:hAnsi="標楷體" w:hint="eastAsia"/>
          <w:color w:val="0D0D0D" w:themeColor="text1" w:themeTint="F2"/>
          <w:kern w:val="2"/>
          <w:sz w:val="24"/>
          <w:szCs w:val="22"/>
        </w:rPr>
        <w:t>學期開課數、</w:t>
      </w:r>
      <w:proofErr w:type="gramStart"/>
      <w:r w:rsidRPr="005E5A7B">
        <w:rPr>
          <w:rFonts w:ascii="標楷體" w:hAnsi="標楷體" w:hint="eastAsia"/>
          <w:color w:val="0D0D0D" w:themeColor="text1" w:themeTint="F2"/>
          <w:kern w:val="2"/>
          <w:sz w:val="24"/>
          <w:szCs w:val="22"/>
        </w:rPr>
        <w:t>開班數之</w:t>
      </w:r>
      <w:proofErr w:type="gramEnd"/>
      <w:r w:rsidRPr="005E5A7B">
        <w:rPr>
          <w:rFonts w:ascii="標楷體" w:hAnsi="標楷體" w:hint="eastAsia"/>
          <w:color w:val="0D0D0D" w:themeColor="text1" w:themeTint="F2"/>
          <w:kern w:val="2"/>
          <w:sz w:val="24"/>
          <w:szCs w:val="22"/>
        </w:rPr>
        <w:t>審議。</w:t>
      </w:r>
    </w:p>
    <w:p w:rsidR="00D23D96" w:rsidRPr="005E5A7B" w:rsidRDefault="00D23D96" w:rsidP="00D23D96">
      <w:pPr>
        <w:widowControl/>
        <w:numPr>
          <w:ilvl w:val="1"/>
          <w:numId w:val="1"/>
        </w:numPr>
        <w:spacing w:beforeLines="30" w:before="108" w:after="100" w:afterAutospacing="1"/>
        <w:rPr>
          <w:rFonts w:ascii="標楷體" w:hAnsi="標楷體"/>
          <w:color w:val="0D0D0D" w:themeColor="text1" w:themeTint="F2"/>
          <w:kern w:val="2"/>
          <w:sz w:val="24"/>
          <w:szCs w:val="22"/>
        </w:rPr>
      </w:pPr>
      <w:r w:rsidRPr="005E5A7B">
        <w:rPr>
          <w:rFonts w:ascii="標楷體" w:hAnsi="標楷體" w:hint="eastAsia"/>
          <w:color w:val="0D0D0D" w:themeColor="text1" w:themeTint="F2"/>
          <w:kern w:val="2"/>
          <w:sz w:val="24"/>
          <w:szCs w:val="22"/>
        </w:rPr>
        <w:t>教師申請開設本中心課程之資格審定。</w:t>
      </w:r>
    </w:p>
    <w:p w:rsidR="00D23D96" w:rsidRPr="005E5A7B" w:rsidRDefault="00D23D96" w:rsidP="00D23D96">
      <w:pPr>
        <w:widowControl/>
        <w:numPr>
          <w:ilvl w:val="1"/>
          <w:numId w:val="1"/>
        </w:numPr>
        <w:spacing w:beforeLines="30" w:before="108" w:after="100" w:afterAutospacing="1"/>
        <w:rPr>
          <w:rFonts w:ascii="標楷體" w:hAnsi="標楷體"/>
          <w:color w:val="0D0D0D" w:themeColor="text1" w:themeTint="F2"/>
          <w:kern w:val="2"/>
          <w:sz w:val="24"/>
          <w:szCs w:val="22"/>
        </w:rPr>
      </w:pPr>
      <w:r w:rsidRPr="005E5A7B">
        <w:rPr>
          <w:rFonts w:ascii="標楷體" w:hAnsi="標楷體" w:hint="eastAsia"/>
          <w:color w:val="0D0D0D" w:themeColor="text1" w:themeTint="F2"/>
          <w:kern w:val="2"/>
          <w:sz w:val="24"/>
          <w:szCs w:val="22"/>
        </w:rPr>
        <w:t>本中心課程相關法規審議。</w:t>
      </w:r>
    </w:p>
    <w:p w:rsidR="00D23D96" w:rsidRPr="005E5A7B" w:rsidRDefault="00D23D96" w:rsidP="00D23D96">
      <w:pPr>
        <w:widowControl/>
        <w:numPr>
          <w:ilvl w:val="1"/>
          <w:numId w:val="1"/>
        </w:numPr>
        <w:spacing w:beforeLines="30" w:before="108" w:after="100" w:afterAutospacing="1"/>
        <w:rPr>
          <w:rFonts w:ascii="標楷體" w:hAnsi="標楷體"/>
          <w:color w:val="0D0D0D" w:themeColor="text1" w:themeTint="F2"/>
          <w:kern w:val="2"/>
          <w:sz w:val="24"/>
          <w:szCs w:val="22"/>
        </w:rPr>
      </w:pPr>
      <w:r w:rsidRPr="005E5A7B">
        <w:rPr>
          <w:rFonts w:ascii="標楷體" w:hAnsi="標楷體" w:hint="eastAsia"/>
          <w:color w:val="0D0D0D" w:themeColor="text1" w:themeTint="F2"/>
          <w:kern w:val="2"/>
          <w:sz w:val="24"/>
          <w:szCs w:val="22"/>
        </w:rPr>
        <w:t>與其他學術單位之課程或教學有關事項之規劃、審議。</w:t>
      </w:r>
    </w:p>
    <w:p w:rsidR="00D23D96" w:rsidRPr="005E5A7B" w:rsidRDefault="00D23D96" w:rsidP="00D23D96">
      <w:pPr>
        <w:widowControl/>
        <w:numPr>
          <w:ilvl w:val="1"/>
          <w:numId w:val="1"/>
        </w:numPr>
        <w:spacing w:beforeLines="30" w:before="108" w:after="100" w:afterAutospacing="1"/>
        <w:rPr>
          <w:rFonts w:ascii="標楷體" w:hAnsi="標楷體"/>
          <w:color w:val="0D0D0D" w:themeColor="text1" w:themeTint="F2"/>
          <w:kern w:val="2"/>
          <w:sz w:val="24"/>
          <w:szCs w:val="22"/>
        </w:rPr>
      </w:pPr>
      <w:r w:rsidRPr="005E5A7B">
        <w:rPr>
          <w:rFonts w:ascii="標楷體" w:hAnsi="標楷體" w:hint="eastAsia"/>
          <w:color w:val="0D0D0D" w:themeColor="text1" w:themeTint="F2"/>
          <w:kern w:val="2"/>
          <w:sz w:val="24"/>
          <w:szCs w:val="22"/>
        </w:rPr>
        <w:t>其他相關事宜。</w:t>
      </w:r>
    </w:p>
    <w:p w:rsidR="00D23D96" w:rsidRPr="00B61312" w:rsidRDefault="00D23D96" w:rsidP="006A19FB">
      <w:pPr>
        <w:widowControl/>
        <w:numPr>
          <w:ilvl w:val="0"/>
          <w:numId w:val="1"/>
        </w:numPr>
        <w:spacing w:beforeLines="30" w:before="108" w:after="100" w:afterAutospacing="1"/>
        <w:rPr>
          <w:rFonts w:ascii="標楷體" w:hAnsi="標楷體"/>
          <w:color w:val="0D0D0D" w:themeColor="text1" w:themeTint="F2"/>
          <w:kern w:val="2"/>
          <w:sz w:val="24"/>
          <w:szCs w:val="22"/>
        </w:rPr>
      </w:pPr>
      <w:r w:rsidRPr="00B61312">
        <w:rPr>
          <w:rFonts w:ascii="標楷體" w:hAnsi="標楷體" w:hint="eastAsia"/>
          <w:color w:val="0D0D0D" w:themeColor="text1" w:themeTint="F2"/>
          <w:kern w:val="2"/>
          <w:sz w:val="24"/>
          <w:szCs w:val="22"/>
        </w:rPr>
        <w:t>本委員會</w:t>
      </w:r>
      <w:r w:rsidRPr="00B61312">
        <w:rPr>
          <w:color w:val="0D0D0D" w:themeColor="text1" w:themeTint="F2"/>
          <w:kern w:val="2"/>
          <w:sz w:val="24"/>
          <w:szCs w:val="22"/>
        </w:rPr>
        <w:t>由</w:t>
      </w:r>
      <w:r w:rsidR="006A19FB">
        <w:rPr>
          <w:rFonts w:hint="eastAsia"/>
          <w:color w:val="0D0D0D" w:themeColor="text1" w:themeTint="F2"/>
          <w:kern w:val="2"/>
          <w:sz w:val="24"/>
          <w:szCs w:val="22"/>
        </w:rPr>
        <w:t>本</w:t>
      </w:r>
      <w:r w:rsidRPr="00B61312">
        <w:rPr>
          <w:rFonts w:ascii="標楷體" w:hAnsi="標楷體" w:hint="eastAsia"/>
          <w:color w:val="0D0D0D" w:themeColor="text1" w:themeTint="F2"/>
          <w:kern w:val="2"/>
          <w:sz w:val="24"/>
          <w:szCs w:val="22"/>
        </w:rPr>
        <w:t>中心主任擔任召集人，委員會成員由中心主任為當然委員，</w:t>
      </w:r>
      <w:r w:rsidR="006A19FB" w:rsidRPr="006A19FB">
        <w:rPr>
          <w:rFonts w:ascii="標楷體" w:hAnsi="標楷體" w:hint="eastAsia"/>
          <w:color w:val="0D0D0D" w:themeColor="text1" w:themeTint="F2"/>
          <w:kern w:val="2"/>
          <w:sz w:val="24"/>
          <w:szCs w:val="22"/>
        </w:rPr>
        <w:t>選任委員</w:t>
      </w:r>
      <w:r w:rsidR="006A19FB">
        <w:rPr>
          <w:rFonts w:ascii="標楷體" w:hAnsi="標楷體" w:hint="eastAsia"/>
          <w:color w:val="0D0D0D" w:themeColor="text1" w:themeTint="F2"/>
          <w:kern w:val="2"/>
          <w:sz w:val="24"/>
          <w:szCs w:val="22"/>
        </w:rPr>
        <w:t>由本</w:t>
      </w:r>
      <w:r w:rsidRPr="00B61312">
        <w:rPr>
          <w:rFonts w:ascii="標楷體" w:hAnsi="標楷體" w:hint="eastAsia"/>
          <w:color w:val="0D0D0D" w:themeColor="text1" w:themeTint="F2"/>
          <w:kern w:val="2"/>
          <w:sz w:val="24"/>
          <w:szCs w:val="22"/>
        </w:rPr>
        <w:t>中心全體</w:t>
      </w:r>
      <w:r w:rsidR="006A19FB">
        <w:rPr>
          <w:rFonts w:ascii="標楷體" w:hAnsi="標楷體" w:hint="eastAsia"/>
          <w:color w:val="0D0D0D" w:themeColor="text1" w:themeTint="F2"/>
          <w:kern w:val="2"/>
          <w:sz w:val="24"/>
          <w:szCs w:val="22"/>
        </w:rPr>
        <w:t>專任(案)</w:t>
      </w:r>
      <w:r w:rsidRPr="00B61312">
        <w:rPr>
          <w:rFonts w:ascii="標楷體" w:hAnsi="標楷體" w:hint="eastAsia"/>
          <w:color w:val="0D0D0D" w:themeColor="text1" w:themeTint="F2"/>
          <w:kern w:val="2"/>
          <w:sz w:val="24"/>
          <w:szCs w:val="22"/>
        </w:rPr>
        <w:t>教師互選</w:t>
      </w:r>
      <w:r w:rsidR="006A19FB">
        <w:rPr>
          <w:rFonts w:ascii="標楷體" w:hAnsi="標楷體" w:hint="eastAsia"/>
          <w:color w:val="0D0D0D" w:themeColor="text1" w:themeTint="F2"/>
          <w:kern w:val="2"/>
          <w:sz w:val="24"/>
          <w:szCs w:val="22"/>
        </w:rPr>
        <w:t>教師代表10人組成，</w:t>
      </w:r>
      <w:r w:rsidRPr="00B61312">
        <w:rPr>
          <w:rFonts w:ascii="標楷體" w:hAnsi="標楷體" w:hint="eastAsia"/>
          <w:color w:val="0D0D0D" w:themeColor="text1" w:themeTint="F2"/>
          <w:kern w:val="2"/>
          <w:sz w:val="24"/>
          <w:szCs w:val="22"/>
        </w:rPr>
        <w:t>必要時得邀請</w:t>
      </w:r>
      <w:r w:rsidR="006A19FB">
        <w:rPr>
          <w:rFonts w:ascii="標楷體" w:hAnsi="標楷體" w:hint="eastAsia"/>
          <w:color w:val="0D0D0D" w:themeColor="text1" w:themeTint="F2"/>
          <w:kern w:val="2"/>
          <w:sz w:val="24"/>
          <w:szCs w:val="22"/>
        </w:rPr>
        <w:t>校外專家或相關</w:t>
      </w:r>
      <w:r w:rsidRPr="00B61312">
        <w:rPr>
          <w:rFonts w:ascii="標楷體" w:hAnsi="標楷體" w:hint="eastAsia"/>
          <w:color w:val="0D0D0D" w:themeColor="text1" w:themeTint="F2"/>
          <w:kern w:val="2"/>
          <w:sz w:val="24"/>
          <w:szCs w:val="22"/>
        </w:rPr>
        <w:t>教師列席。</w:t>
      </w:r>
    </w:p>
    <w:p w:rsidR="00D23D96" w:rsidRPr="00F96399" w:rsidRDefault="00D23D96" w:rsidP="00D23D96">
      <w:pPr>
        <w:widowControl/>
        <w:numPr>
          <w:ilvl w:val="0"/>
          <w:numId w:val="1"/>
        </w:numPr>
        <w:spacing w:beforeLines="30" w:before="108" w:after="100" w:afterAutospacing="1"/>
        <w:ind w:hanging="482"/>
        <w:rPr>
          <w:rFonts w:ascii="標楷體" w:hAnsi="標楷體"/>
          <w:color w:val="0D0D0D" w:themeColor="text1" w:themeTint="F2"/>
          <w:kern w:val="2"/>
          <w:sz w:val="24"/>
          <w:szCs w:val="22"/>
        </w:rPr>
      </w:pPr>
      <w:r w:rsidRPr="00F96399">
        <w:rPr>
          <w:rFonts w:ascii="標楷體" w:hAnsi="標楷體" w:hint="eastAsia"/>
          <w:color w:val="0D0D0D" w:themeColor="text1" w:themeTint="F2"/>
          <w:kern w:val="2"/>
          <w:sz w:val="24"/>
          <w:szCs w:val="22"/>
        </w:rPr>
        <w:t>本委員會召集人及委員之任期為一年，並得連選連任。</w:t>
      </w:r>
    </w:p>
    <w:p w:rsidR="00D23D96" w:rsidRPr="00F96399" w:rsidRDefault="00D23D96" w:rsidP="00D23D96">
      <w:pPr>
        <w:widowControl/>
        <w:numPr>
          <w:ilvl w:val="0"/>
          <w:numId w:val="1"/>
        </w:numPr>
        <w:spacing w:beforeLines="30" w:before="108" w:after="100" w:afterAutospacing="1"/>
        <w:ind w:hanging="482"/>
        <w:rPr>
          <w:rFonts w:ascii="標楷體" w:hAnsi="標楷體"/>
          <w:color w:val="0D0D0D" w:themeColor="text1" w:themeTint="F2"/>
          <w:kern w:val="2"/>
          <w:sz w:val="24"/>
          <w:szCs w:val="22"/>
        </w:rPr>
      </w:pPr>
      <w:r w:rsidRPr="00F96399">
        <w:rPr>
          <w:rFonts w:ascii="標楷體" w:hAnsi="標楷體" w:hint="eastAsia"/>
          <w:color w:val="0D0D0D" w:themeColor="text1" w:themeTint="F2"/>
          <w:kern w:val="2"/>
          <w:sz w:val="24"/>
          <w:szCs w:val="22"/>
        </w:rPr>
        <w:t>本委員會每學期召開會議一次，必要時得召開臨時會議。</w:t>
      </w:r>
    </w:p>
    <w:p w:rsidR="00D23D96" w:rsidRPr="00F96399" w:rsidRDefault="00D23D96" w:rsidP="00D23D96">
      <w:pPr>
        <w:widowControl/>
        <w:numPr>
          <w:ilvl w:val="0"/>
          <w:numId w:val="1"/>
        </w:numPr>
        <w:spacing w:beforeLines="30" w:before="108" w:after="100" w:afterAutospacing="1"/>
        <w:ind w:hanging="482"/>
        <w:rPr>
          <w:rFonts w:ascii="標楷體" w:hAnsi="標楷體"/>
          <w:color w:val="0D0D0D" w:themeColor="text1" w:themeTint="F2"/>
          <w:kern w:val="2"/>
          <w:sz w:val="24"/>
          <w:szCs w:val="22"/>
        </w:rPr>
      </w:pPr>
      <w:r w:rsidRPr="00F96399">
        <w:rPr>
          <w:rFonts w:ascii="標楷體" w:hAnsi="標楷體" w:hint="eastAsia"/>
          <w:color w:val="0D0D0D" w:themeColor="text1" w:themeTint="F2"/>
          <w:kern w:val="2"/>
          <w:sz w:val="24"/>
          <w:szCs w:val="22"/>
        </w:rPr>
        <w:t>本委員會開會時由召集人擔任主席，主席不能出席時，由各委員互選一人擔任之。</w:t>
      </w:r>
    </w:p>
    <w:p w:rsidR="00D23D96" w:rsidRPr="00F96399" w:rsidRDefault="00D23D96" w:rsidP="00D23D96">
      <w:pPr>
        <w:widowControl/>
        <w:numPr>
          <w:ilvl w:val="0"/>
          <w:numId w:val="1"/>
        </w:numPr>
        <w:spacing w:beforeLines="30" w:before="108" w:after="100" w:afterAutospacing="1"/>
        <w:ind w:hanging="482"/>
        <w:rPr>
          <w:rFonts w:ascii="標楷體" w:hAnsi="標楷體"/>
          <w:color w:val="0D0D0D" w:themeColor="text1" w:themeTint="F2"/>
          <w:kern w:val="2"/>
          <w:sz w:val="24"/>
          <w:szCs w:val="22"/>
        </w:rPr>
      </w:pPr>
      <w:r w:rsidRPr="00F96399">
        <w:rPr>
          <w:rFonts w:ascii="標楷體" w:hAnsi="標楷體" w:hint="eastAsia"/>
          <w:color w:val="0D0D0D" w:themeColor="text1" w:themeTint="F2"/>
          <w:kern w:val="2"/>
          <w:sz w:val="24"/>
          <w:szCs w:val="22"/>
        </w:rPr>
        <w:t>本委員會須有二分之一以上(含)之委員出席始得開議，出席委員二分之一(含)以上同意始得決議。</w:t>
      </w:r>
    </w:p>
    <w:p w:rsidR="00D23D96" w:rsidRPr="00F96399" w:rsidRDefault="00D23D96" w:rsidP="00D23D96">
      <w:pPr>
        <w:widowControl/>
        <w:numPr>
          <w:ilvl w:val="0"/>
          <w:numId w:val="1"/>
        </w:numPr>
        <w:spacing w:beforeLines="30" w:before="108" w:after="100" w:afterAutospacing="1"/>
        <w:ind w:hanging="482"/>
        <w:rPr>
          <w:rFonts w:ascii="標楷體" w:hAnsi="標楷體"/>
          <w:color w:val="0D0D0D" w:themeColor="text1" w:themeTint="F2"/>
          <w:kern w:val="2"/>
          <w:sz w:val="24"/>
          <w:szCs w:val="22"/>
        </w:rPr>
      </w:pPr>
      <w:r w:rsidRPr="00F96399">
        <w:rPr>
          <w:rFonts w:ascii="標楷體" w:hAnsi="標楷體" w:hint="eastAsia"/>
          <w:color w:val="0D0D0D" w:themeColor="text1" w:themeTint="F2"/>
          <w:kern w:val="2"/>
          <w:sz w:val="24"/>
          <w:szCs w:val="22"/>
        </w:rPr>
        <w:t>本委員會得置諮詢委員若干名，聘請校外學者專家、產業界代表及校友代表擔任。</w:t>
      </w:r>
    </w:p>
    <w:p w:rsidR="00D45A24" w:rsidRPr="00D23D96" w:rsidRDefault="00D23D96" w:rsidP="004F3016">
      <w:pPr>
        <w:widowControl/>
        <w:numPr>
          <w:ilvl w:val="0"/>
          <w:numId w:val="1"/>
        </w:numPr>
        <w:tabs>
          <w:tab w:val="left" w:pos="709"/>
        </w:tabs>
        <w:spacing w:beforeLines="30" w:before="108" w:after="100" w:afterAutospacing="1"/>
        <w:rPr>
          <w:rFonts w:ascii="標楷體" w:hAnsi="標楷體"/>
          <w:color w:val="0D0D0D" w:themeColor="text1" w:themeTint="F2"/>
          <w:sz w:val="24"/>
        </w:rPr>
      </w:pPr>
      <w:r w:rsidRPr="0031790A">
        <w:rPr>
          <w:rFonts w:ascii="標楷體" w:hAnsi="標楷體" w:hint="eastAsia"/>
          <w:color w:val="0D0D0D" w:themeColor="text1" w:themeTint="F2"/>
          <w:kern w:val="2"/>
          <w:sz w:val="24"/>
          <w:szCs w:val="22"/>
        </w:rPr>
        <w:t>本要點經中心會議</w:t>
      </w:r>
      <w:r w:rsidR="006A19FB" w:rsidRPr="0031790A">
        <w:rPr>
          <w:rFonts w:ascii="標楷體" w:hAnsi="標楷體" w:hint="eastAsia"/>
          <w:color w:val="0D0D0D" w:themeColor="text1" w:themeTint="F2"/>
          <w:kern w:val="2"/>
          <w:sz w:val="24"/>
          <w:szCs w:val="22"/>
        </w:rPr>
        <w:t>、</w:t>
      </w:r>
      <w:r w:rsidRPr="0031790A">
        <w:rPr>
          <w:rFonts w:ascii="標楷體" w:hAnsi="標楷體" w:hint="eastAsia"/>
          <w:color w:val="0D0D0D" w:themeColor="text1" w:themeTint="F2"/>
          <w:kern w:val="2"/>
          <w:sz w:val="24"/>
          <w:szCs w:val="22"/>
        </w:rPr>
        <w:t>院</w:t>
      </w:r>
      <w:proofErr w:type="gramStart"/>
      <w:r w:rsidRPr="0031790A">
        <w:rPr>
          <w:rFonts w:ascii="標楷體" w:hAnsi="標楷體" w:hint="eastAsia"/>
          <w:color w:val="0D0D0D" w:themeColor="text1" w:themeTint="F2"/>
          <w:kern w:val="2"/>
          <w:sz w:val="24"/>
          <w:szCs w:val="22"/>
        </w:rPr>
        <w:t>務</w:t>
      </w:r>
      <w:proofErr w:type="gramEnd"/>
      <w:r w:rsidRPr="0031790A">
        <w:rPr>
          <w:rFonts w:ascii="標楷體" w:hAnsi="標楷體" w:hint="eastAsia"/>
          <w:color w:val="0D0D0D" w:themeColor="text1" w:themeTint="F2"/>
          <w:kern w:val="2"/>
          <w:sz w:val="24"/>
          <w:szCs w:val="22"/>
        </w:rPr>
        <w:t>會議通過</w:t>
      </w:r>
      <w:r w:rsidR="006A19FB" w:rsidRPr="0031790A">
        <w:rPr>
          <w:rFonts w:ascii="標楷體" w:hAnsi="標楷體" w:hint="eastAsia"/>
          <w:color w:val="0D0D0D" w:themeColor="text1" w:themeTint="F2"/>
          <w:kern w:val="2"/>
          <w:sz w:val="24"/>
          <w:szCs w:val="22"/>
        </w:rPr>
        <w:t>，提</w:t>
      </w:r>
      <w:r w:rsidRPr="0031790A">
        <w:rPr>
          <w:rFonts w:ascii="標楷體" w:hAnsi="標楷體" w:hint="eastAsia"/>
          <w:color w:val="0D0D0D" w:themeColor="text1" w:themeTint="F2"/>
          <w:kern w:val="2"/>
          <w:sz w:val="24"/>
          <w:szCs w:val="22"/>
        </w:rPr>
        <w:t>送教務處備查</w:t>
      </w:r>
      <w:r w:rsidR="006A19FB" w:rsidRPr="0031790A">
        <w:rPr>
          <w:rFonts w:ascii="標楷體" w:hAnsi="標楷體" w:hint="eastAsia"/>
          <w:color w:val="0D0D0D" w:themeColor="text1" w:themeTint="F2"/>
          <w:kern w:val="2"/>
          <w:sz w:val="24"/>
          <w:szCs w:val="22"/>
        </w:rPr>
        <w:t>後施行;</w:t>
      </w:r>
      <w:r w:rsidRPr="0031790A">
        <w:rPr>
          <w:rFonts w:ascii="標楷體" w:hAnsi="標楷體" w:hint="eastAsia"/>
          <w:color w:val="0D0D0D" w:themeColor="text1" w:themeTint="F2"/>
          <w:kern w:val="2"/>
          <w:sz w:val="24"/>
          <w:szCs w:val="22"/>
        </w:rPr>
        <w:t>修正時亦同。</w:t>
      </w:r>
      <w:bookmarkStart w:id="0" w:name="_GoBack"/>
      <w:bookmarkEnd w:id="0"/>
    </w:p>
    <w:sectPr w:rsidR="00D45A24" w:rsidRPr="00D23D96" w:rsidSect="0031790A">
      <w:pgSz w:w="11906" w:h="16838"/>
      <w:pgMar w:top="1440" w:right="707" w:bottom="1440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0E5E" w:rsidRDefault="00AE0E5E" w:rsidP="00571F68">
      <w:r>
        <w:separator/>
      </w:r>
    </w:p>
  </w:endnote>
  <w:endnote w:type="continuationSeparator" w:id="0">
    <w:p w:rsidR="00AE0E5E" w:rsidRDefault="00AE0E5E" w:rsidP="00571F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0E5E" w:rsidRDefault="00AE0E5E" w:rsidP="00571F68">
      <w:r>
        <w:separator/>
      </w:r>
    </w:p>
  </w:footnote>
  <w:footnote w:type="continuationSeparator" w:id="0">
    <w:p w:rsidR="00AE0E5E" w:rsidRDefault="00AE0E5E" w:rsidP="00571F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80C7F"/>
    <w:multiLevelType w:val="hybridMultilevel"/>
    <w:tmpl w:val="19C4EDBE"/>
    <w:lvl w:ilvl="0" w:tplc="2ACC3162">
      <w:start w:val="1"/>
      <w:numFmt w:val="taiwaneseCountingThousand"/>
      <w:lvlText w:val="(%1)"/>
      <w:lvlJc w:val="left"/>
      <w:pPr>
        <w:ind w:left="480" w:hanging="480"/>
      </w:pPr>
      <w:rPr>
        <w:rFonts w:ascii="標楷體" w:eastAsia="標楷體" w:hAnsi="標楷體" w:hint="eastAsia"/>
        <w:b w:val="0"/>
        <w:sz w:val="24"/>
        <w:szCs w:val="24"/>
      </w:rPr>
    </w:lvl>
    <w:lvl w:ilvl="1" w:tplc="445625BA">
      <w:start w:val="1"/>
      <w:numFmt w:val="taiwaneseCountingThousand"/>
      <w:lvlText w:val="(%2)"/>
      <w:lvlJc w:val="left"/>
      <w:pPr>
        <w:ind w:left="870" w:hanging="39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43A47FD"/>
    <w:multiLevelType w:val="hybridMultilevel"/>
    <w:tmpl w:val="EED064C8"/>
    <w:lvl w:ilvl="0" w:tplc="2ACC3162">
      <w:start w:val="1"/>
      <w:numFmt w:val="taiwaneseCountingThousand"/>
      <w:lvlText w:val="(%1)"/>
      <w:lvlJc w:val="left"/>
      <w:pPr>
        <w:ind w:left="480" w:hanging="480"/>
      </w:pPr>
      <w:rPr>
        <w:rFonts w:ascii="標楷體" w:eastAsia="標楷體" w:hAnsi="標楷體" w:hint="eastAsia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1066B16"/>
    <w:multiLevelType w:val="hybridMultilevel"/>
    <w:tmpl w:val="EED064C8"/>
    <w:lvl w:ilvl="0" w:tplc="2ACC3162">
      <w:start w:val="1"/>
      <w:numFmt w:val="taiwaneseCountingThousand"/>
      <w:lvlText w:val="(%1)"/>
      <w:lvlJc w:val="left"/>
      <w:pPr>
        <w:ind w:left="480" w:hanging="480"/>
      </w:pPr>
      <w:rPr>
        <w:rFonts w:ascii="標楷體" w:eastAsia="標楷體" w:hAnsi="標楷體" w:hint="eastAsia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0901147"/>
    <w:multiLevelType w:val="hybridMultilevel"/>
    <w:tmpl w:val="FB3CDD64"/>
    <w:lvl w:ilvl="0" w:tplc="CF127494">
      <w:start w:val="1"/>
      <w:numFmt w:val="taiwaneseCountingThousand"/>
      <w:lvlText w:val="第%1條"/>
      <w:lvlJc w:val="left"/>
      <w:pPr>
        <w:ind w:left="180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46FE4671"/>
    <w:multiLevelType w:val="hybridMultilevel"/>
    <w:tmpl w:val="81A8A78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4CFD3D10"/>
    <w:multiLevelType w:val="hybridMultilevel"/>
    <w:tmpl w:val="93CED12A"/>
    <w:lvl w:ilvl="0" w:tplc="E4482324">
      <w:start w:val="1"/>
      <w:numFmt w:val="taiwaneseCountingThousand"/>
      <w:lvlText w:val="(%1)"/>
      <w:lvlJc w:val="left"/>
      <w:pPr>
        <w:ind w:left="905" w:hanging="480"/>
      </w:pPr>
      <w:rPr>
        <w:rFonts w:hint="eastAsia"/>
        <w:b w:val="0"/>
      </w:rPr>
    </w:lvl>
    <w:lvl w:ilvl="1" w:tplc="04090019">
      <w:start w:val="1"/>
      <w:numFmt w:val="ideographTraditional"/>
      <w:lvlText w:val="%2、"/>
      <w:lvlJc w:val="left"/>
      <w:pPr>
        <w:ind w:left="1385" w:hanging="480"/>
      </w:pPr>
    </w:lvl>
    <w:lvl w:ilvl="2" w:tplc="0409001B">
      <w:start w:val="1"/>
      <w:numFmt w:val="lowerRoman"/>
      <w:lvlText w:val="%3."/>
      <w:lvlJc w:val="right"/>
      <w:pPr>
        <w:ind w:left="1865" w:hanging="480"/>
      </w:pPr>
    </w:lvl>
    <w:lvl w:ilvl="3" w:tplc="04090015">
      <w:start w:val="1"/>
      <w:numFmt w:val="taiwaneseCountingThousand"/>
      <w:lvlText w:val="%4、"/>
      <w:lvlJc w:val="left"/>
      <w:pPr>
        <w:ind w:left="2225" w:hanging="36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6">
    <w:nsid w:val="730D125E"/>
    <w:multiLevelType w:val="hybridMultilevel"/>
    <w:tmpl w:val="EED064C8"/>
    <w:lvl w:ilvl="0" w:tplc="2ACC3162">
      <w:start w:val="1"/>
      <w:numFmt w:val="taiwaneseCountingThousand"/>
      <w:lvlText w:val="(%1)"/>
      <w:lvlJc w:val="left"/>
      <w:pPr>
        <w:ind w:left="480" w:hanging="480"/>
      </w:pPr>
      <w:rPr>
        <w:rFonts w:ascii="標楷體" w:eastAsia="標楷體" w:hAnsi="標楷體" w:hint="eastAsia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775E1B9A"/>
    <w:multiLevelType w:val="hybridMultilevel"/>
    <w:tmpl w:val="EEF8223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17822BDC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CF127494">
      <w:start w:val="1"/>
      <w:numFmt w:val="taiwaneseCountingThousand"/>
      <w:lvlText w:val="第%3條"/>
      <w:lvlJc w:val="left"/>
      <w:pPr>
        <w:ind w:left="1800" w:hanging="84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7A81747E"/>
    <w:multiLevelType w:val="hybridMultilevel"/>
    <w:tmpl w:val="8AF8E41C"/>
    <w:lvl w:ilvl="0" w:tplc="04090015">
      <w:start w:val="1"/>
      <w:numFmt w:val="taiwaneseCountingThousand"/>
      <w:lvlText w:val="%1、"/>
      <w:lvlJc w:val="left"/>
      <w:pPr>
        <w:ind w:left="6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9">
    <w:nsid w:val="7D7377F1"/>
    <w:multiLevelType w:val="hybridMultilevel"/>
    <w:tmpl w:val="FC4EC17C"/>
    <w:lvl w:ilvl="0" w:tplc="3620B202">
      <w:start w:val="1"/>
      <w:numFmt w:val="taiwaneseCountingThousand"/>
      <w:lvlText w:val="%1、"/>
      <w:lvlJc w:val="left"/>
      <w:pPr>
        <w:ind w:left="1190" w:hanging="480"/>
      </w:pPr>
      <w:rPr>
        <w:rFonts w:ascii="標楷體" w:eastAsia="標楷體" w:hAnsi="標楷體"/>
        <w:strike w:val="0"/>
        <w:color w:val="0D0D0D" w:themeColor="text1" w:themeTint="F2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>
    <w:nsid w:val="7EC11430"/>
    <w:multiLevelType w:val="hybridMultilevel"/>
    <w:tmpl w:val="F3DCDCDA"/>
    <w:lvl w:ilvl="0" w:tplc="0409000F">
      <w:start w:val="1"/>
      <w:numFmt w:val="decimal"/>
      <w:lvlText w:val="%1."/>
      <w:lvlJc w:val="left"/>
      <w:pPr>
        <w:ind w:left="1385" w:hanging="480"/>
      </w:pPr>
    </w:lvl>
    <w:lvl w:ilvl="1" w:tplc="2C66AAC6">
      <w:start w:val="1"/>
      <w:numFmt w:val="taiwaneseCountingThousand"/>
      <w:lvlText w:val="(%2)"/>
      <w:lvlJc w:val="left"/>
      <w:pPr>
        <w:ind w:left="1970" w:hanging="58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345" w:hanging="480"/>
      </w:pPr>
    </w:lvl>
    <w:lvl w:ilvl="3" w:tplc="0409000F" w:tentative="1">
      <w:start w:val="1"/>
      <w:numFmt w:val="decimal"/>
      <w:lvlText w:val="%4."/>
      <w:lvlJc w:val="left"/>
      <w:pPr>
        <w:ind w:left="28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5" w:hanging="480"/>
      </w:pPr>
    </w:lvl>
    <w:lvl w:ilvl="5" w:tplc="0409001B" w:tentative="1">
      <w:start w:val="1"/>
      <w:numFmt w:val="lowerRoman"/>
      <w:lvlText w:val="%6."/>
      <w:lvlJc w:val="right"/>
      <w:pPr>
        <w:ind w:left="3785" w:hanging="480"/>
      </w:pPr>
    </w:lvl>
    <w:lvl w:ilvl="6" w:tplc="0409000F" w:tentative="1">
      <w:start w:val="1"/>
      <w:numFmt w:val="decimal"/>
      <w:lvlText w:val="%7."/>
      <w:lvlJc w:val="left"/>
      <w:pPr>
        <w:ind w:left="42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5" w:hanging="480"/>
      </w:pPr>
    </w:lvl>
    <w:lvl w:ilvl="8" w:tplc="0409001B" w:tentative="1">
      <w:start w:val="1"/>
      <w:numFmt w:val="lowerRoman"/>
      <w:lvlText w:val="%9."/>
      <w:lvlJc w:val="right"/>
      <w:pPr>
        <w:ind w:left="5225" w:hanging="480"/>
      </w:pPr>
    </w:lvl>
  </w:abstractNum>
  <w:abstractNum w:abstractNumId="11">
    <w:nsid w:val="7FDA1FA3"/>
    <w:multiLevelType w:val="hybridMultilevel"/>
    <w:tmpl w:val="B2ACF118"/>
    <w:lvl w:ilvl="0" w:tplc="0409000F">
      <w:start w:val="1"/>
      <w:numFmt w:val="decimal"/>
      <w:lvlText w:val="%1."/>
      <w:lvlJc w:val="left"/>
      <w:pPr>
        <w:ind w:left="129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770" w:hanging="480"/>
      </w:pPr>
    </w:lvl>
    <w:lvl w:ilvl="2" w:tplc="0409001B" w:tentative="1">
      <w:start w:val="1"/>
      <w:numFmt w:val="lowerRoman"/>
      <w:lvlText w:val="%3."/>
      <w:lvlJc w:val="right"/>
      <w:pPr>
        <w:ind w:left="2250" w:hanging="480"/>
      </w:pPr>
    </w:lvl>
    <w:lvl w:ilvl="3" w:tplc="0409000F" w:tentative="1">
      <w:start w:val="1"/>
      <w:numFmt w:val="decimal"/>
      <w:lvlText w:val="%4."/>
      <w:lvlJc w:val="left"/>
      <w:pPr>
        <w:ind w:left="27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10" w:hanging="480"/>
      </w:pPr>
    </w:lvl>
    <w:lvl w:ilvl="5" w:tplc="0409001B" w:tentative="1">
      <w:start w:val="1"/>
      <w:numFmt w:val="lowerRoman"/>
      <w:lvlText w:val="%6."/>
      <w:lvlJc w:val="right"/>
      <w:pPr>
        <w:ind w:left="3690" w:hanging="480"/>
      </w:pPr>
    </w:lvl>
    <w:lvl w:ilvl="6" w:tplc="0409000F" w:tentative="1">
      <w:start w:val="1"/>
      <w:numFmt w:val="decimal"/>
      <w:lvlText w:val="%7."/>
      <w:lvlJc w:val="left"/>
      <w:pPr>
        <w:ind w:left="41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50" w:hanging="480"/>
      </w:pPr>
    </w:lvl>
    <w:lvl w:ilvl="8" w:tplc="0409001B" w:tentative="1">
      <w:start w:val="1"/>
      <w:numFmt w:val="lowerRoman"/>
      <w:lvlText w:val="%9."/>
      <w:lvlJc w:val="right"/>
      <w:pPr>
        <w:ind w:left="5130" w:hanging="480"/>
      </w:pPr>
    </w:lvl>
  </w:abstractNum>
  <w:num w:numId="1">
    <w:abstractNumId w:val="7"/>
  </w:num>
  <w:num w:numId="2">
    <w:abstractNumId w:val="10"/>
  </w:num>
  <w:num w:numId="3">
    <w:abstractNumId w:val="9"/>
  </w:num>
  <w:num w:numId="4">
    <w:abstractNumId w:val="8"/>
  </w:num>
  <w:num w:numId="5">
    <w:abstractNumId w:val="2"/>
  </w:num>
  <w:num w:numId="6">
    <w:abstractNumId w:val="5"/>
  </w:num>
  <w:num w:numId="7">
    <w:abstractNumId w:val="4"/>
  </w:num>
  <w:num w:numId="8">
    <w:abstractNumId w:val="1"/>
  </w:num>
  <w:num w:numId="9">
    <w:abstractNumId w:val="6"/>
  </w:num>
  <w:num w:numId="10">
    <w:abstractNumId w:val="3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D96"/>
    <w:rsid w:val="002B781D"/>
    <w:rsid w:val="0031790A"/>
    <w:rsid w:val="00571F68"/>
    <w:rsid w:val="005E5A7B"/>
    <w:rsid w:val="006A19FB"/>
    <w:rsid w:val="00701D69"/>
    <w:rsid w:val="00AE0E5E"/>
    <w:rsid w:val="00B11514"/>
    <w:rsid w:val="00D23D96"/>
    <w:rsid w:val="00F7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D96"/>
    <w:pPr>
      <w:widowControl w:val="0"/>
    </w:pPr>
    <w:rPr>
      <w:rFonts w:ascii="Times New Roman" w:eastAsia="標楷體" w:hAnsi="Times New Roman" w:cs="Times New Roman"/>
      <w:kern w:val="0"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23D96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3">
    <w:name w:val="List Paragraph"/>
    <w:basedOn w:val="a"/>
    <w:uiPriority w:val="34"/>
    <w:qFormat/>
    <w:rsid w:val="00D23D96"/>
    <w:pPr>
      <w:ind w:leftChars="200" w:left="480"/>
    </w:pPr>
    <w:rPr>
      <w:rFonts w:asciiTheme="minorHAnsi" w:eastAsiaTheme="minorEastAsia" w:hAnsiTheme="minorHAnsi" w:cstheme="minorBidi"/>
      <w:kern w:val="2"/>
      <w:sz w:val="24"/>
      <w:szCs w:val="22"/>
    </w:rPr>
  </w:style>
  <w:style w:type="table" w:styleId="a4">
    <w:name w:val="Table Grid"/>
    <w:basedOn w:val="a1"/>
    <w:uiPriority w:val="39"/>
    <w:rsid w:val="00D23D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71F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71F68"/>
    <w:rPr>
      <w:rFonts w:ascii="Times New Roman" w:eastAsia="標楷體" w:hAnsi="Times New Roman" w:cs="Times New Roman"/>
      <w:kern w:val="0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71F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71F68"/>
    <w:rPr>
      <w:rFonts w:ascii="Times New Roman" w:eastAsia="標楷體" w:hAnsi="Times New Roman" w:cs="Times New Roman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D96"/>
    <w:pPr>
      <w:widowControl w:val="0"/>
    </w:pPr>
    <w:rPr>
      <w:rFonts w:ascii="Times New Roman" w:eastAsia="標楷體" w:hAnsi="Times New Roman" w:cs="Times New Roman"/>
      <w:kern w:val="0"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23D96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3">
    <w:name w:val="List Paragraph"/>
    <w:basedOn w:val="a"/>
    <w:uiPriority w:val="34"/>
    <w:qFormat/>
    <w:rsid w:val="00D23D96"/>
    <w:pPr>
      <w:ind w:leftChars="200" w:left="480"/>
    </w:pPr>
    <w:rPr>
      <w:rFonts w:asciiTheme="minorHAnsi" w:eastAsiaTheme="minorEastAsia" w:hAnsiTheme="minorHAnsi" w:cstheme="minorBidi"/>
      <w:kern w:val="2"/>
      <w:sz w:val="24"/>
      <w:szCs w:val="22"/>
    </w:rPr>
  </w:style>
  <w:style w:type="table" w:styleId="a4">
    <w:name w:val="Table Grid"/>
    <w:basedOn w:val="a1"/>
    <w:uiPriority w:val="39"/>
    <w:rsid w:val="00D23D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71F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71F68"/>
    <w:rPr>
      <w:rFonts w:ascii="Times New Roman" w:eastAsia="標楷體" w:hAnsi="Times New Roman" w:cs="Times New Roman"/>
      <w:kern w:val="0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71F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71F68"/>
    <w:rPr>
      <w:rFonts w:ascii="Times New Roman" w:eastAsia="標楷體" w:hAnsi="Times New Roman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457</Characters>
  <Application>Microsoft Office Word</Application>
  <DocSecurity>0</DocSecurity>
  <Lines>3</Lines>
  <Paragraphs>1</Paragraphs>
  <ScaleCrop>false</ScaleCrop>
  <Company/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superuser</dc:creator>
  <cp:lastModifiedBy>superuser</cp:lastModifiedBy>
  <cp:revision>3</cp:revision>
  <dcterms:created xsi:type="dcterms:W3CDTF">2019-03-28T04:27:00Z</dcterms:created>
  <dcterms:modified xsi:type="dcterms:W3CDTF">2019-03-28T04:38:00Z</dcterms:modified>
</cp:coreProperties>
</file>