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96" w:rsidRPr="00015410" w:rsidRDefault="00D23D96" w:rsidP="00D23D96">
      <w:pPr>
        <w:widowControl/>
        <w:jc w:val="center"/>
        <w:rPr>
          <w:rFonts w:ascii="標楷體" w:hAnsiTheme="minorHAnsi" w:cs="標楷體"/>
          <w:b/>
          <w:color w:val="0D0D0D" w:themeColor="text1" w:themeTint="F2"/>
          <w:sz w:val="28"/>
          <w:szCs w:val="28"/>
        </w:rPr>
      </w:pPr>
      <w:r w:rsidRPr="00015410">
        <w:rPr>
          <w:rFonts w:ascii="標楷體" w:hAnsiTheme="minorHAnsi" w:cs="標楷體" w:hint="eastAsia"/>
          <w:b/>
          <w:color w:val="0D0D0D" w:themeColor="text1" w:themeTint="F2"/>
          <w:sz w:val="28"/>
          <w:szCs w:val="28"/>
        </w:rPr>
        <w:t>國立高雄科技大學</w:t>
      </w:r>
      <w:r w:rsidRPr="00015410">
        <w:rPr>
          <w:rFonts w:ascii="標楷體" w:hAnsiTheme="minorHAnsi" w:cs="標楷體" w:hint="eastAsia"/>
          <w:b/>
          <w:color w:val="0D0D0D" w:themeColor="text1" w:themeTint="F2"/>
          <w:sz w:val="28"/>
          <w:szCs w:val="28"/>
          <w:u w:val="single"/>
        </w:rPr>
        <w:t>博雅</w:t>
      </w:r>
      <w:r w:rsidRPr="00015410">
        <w:rPr>
          <w:rFonts w:ascii="標楷體" w:hAnsiTheme="minorHAnsi" w:cs="標楷體" w:hint="eastAsia"/>
          <w:b/>
          <w:color w:val="0D0D0D" w:themeColor="text1" w:themeTint="F2"/>
          <w:sz w:val="28"/>
          <w:szCs w:val="28"/>
        </w:rPr>
        <w:t>教育中心核心通識課程實施要點</w:t>
      </w:r>
    </w:p>
    <w:p w:rsidR="00D23D96" w:rsidRPr="00015410" w:rsidRDefault="00D23D96" w:rsidP="00D23D96">
      <w:pPr>
        <w:widowControl/>
        <w:jc w:val="right"/>
        <w:rPr>
          <w:color w:val="0D0D0D" w:themeColor="text1" w:themeTint="F2"/>
          <w:sz w:val="20"/>
          <w:szCs w:val="20"/>
        </w:rPr>
      </w:pPr>
      <w:r w:rsidRPr="00015410">
        <w:rPr>
          <w:color w:val="0D0D0D" w:themeColor="text1" w:themeTint="F2"/>
          <w:sz w:val="20"/>
          <w:szCs w:val="20"/>
        </w:rPr>
        <w:t>107</w:t>
      </w:r>
      <w:r w:rsidRPr="00015410">
        <w:rPr>
          <w:color w:val="0D0D0D" w:themeColor="text1" w:themeTint="F2"/>
          <w:sz w:val="20"/>
          <w:szCs w:val="20"/>
        </w:rPr>
        <w:t>年</w:t>
      </w:r>
      <w:r w:rsidRPr="00015410">
        <w:rPr>
          <w:color w:val="0D0D0D" w:themeColor="text1" w:themeTint="F2"/>
          <w:sz w:val="20"/>
          <w:szCs w:val="20"/>
        </w:rPr>
        <w:t>11</w:t>
      </w:r>
      <w:r w:rsidRPr="00015410">
        <w:rPr>
          <w:color w:val="0D0D0D" w:themeColor="text1" w:themeTint="F2"/>
          <w:sz w:val="20"/>
          <w:szCs w:val="20"/>
        </w:rPr>
        <w:t>月</w:t>
      </w:r>
      <w:r w:rsidRPr="00015410">
        <w:rPr>
          <w:color w:val="0D0D0D" w:themeColor="text1" w:themeTint="F2"/>
          <w:sz w:val="20"/>
          <w:szCs w:val="20"/>
        </w:rPr>
        <w:t>19</w:t>
      </w:r>
      <w:r w:rsidRPr="00015410">
        <w:rPr>
          <w:color w:val="0D0D0D" w:themeColor="text1" w:themeTint="F2"/>
          <w:sz w:val="20"/>
          <w:szCs w:val="20"/>
        </w:rPr>
        <w:t>日通識教育會議通過</w:t>
      </w:r>
    </w:p>
    <w:p w:rsidR="006E6229" w:rsidRPr="00015410" w:rsidRDefault="006E6229" w:rsidP="00D23D96">
      <w:pPr>
        <w:widowControl/>
        <w:jc w:val="right"/>
        <w:rPr>
          <w:color w:val="0D0D0D" w:themeColor="text1" w:themeTint="F2"/>
          <w:sz w:val="20"/>
          <w:szCs w:val="20"/>
        </w:rPr>
      </w:pPr>
      <w:r w:rsidRPr="00015410">
        <w:rPr>
          <w:rFonts w:hint="eastAsia"/>
          <w:color w:val="0D0D0D" w:themeColor="text1" w:themeTint="F2"/>
          <w:sz w:val="20"/>
          <w:szCs w:val="20"/>
        </w:rPr>
        <w:t>108</w:t>
      </w:r>
      <w:r w:rsidRPr="00015410">
        <w:rPr>
          <w:rFonts w:hint="eastAsia"/>
          <w:color w:val="0D0D0D" w:themeColor="text1" w:themeTint="F2"/>
          <w:sz w:val="20"/>
          <w:szCs w:val="20"/>
        </w:rPr>
        <w:t>年</w:t>
      </w:r>
      <w:r w:rsidRPr="00015410">
        <w:rPr>
          <w:rFonts w:hint="eastAsia"/>
          <w:color w:val="0D0D0D" w:themeColor="text1" w:themeTint="F2"/>
          <w:sz w:val="20"/>
          <w:szCs w:val="20"/>
        </w:rPr>
        <w:t>3</w:t>
      </w:r>
      <w:r w:rsidRPr="00015410">
        <w:rPr>
          <w:rFonts w:hint="eastAsia"/>
          <w:color w:val="0D0D0D" w:themeColor="text1" w:themeTint="F2"/>
          <w:sz w:val="20"/>
          <w:szCs w:val="20"/>
        </w:rPr>
        <w:t>月</w:t>
      </w:r>
      <w:r w:rsidRPr="00015410">
        <w:rPr>
          <w:rFonts w:hint="eastAsia"/>
          <w:color w:val="0D0D0D" w:themeColor="text1" w:themeTint="F2"/>
          <w:sz w:val="20"/>
          <w:szCs w:val="20"/>
        </w:rPr>
        <w:t>18</w:t>
      </w:r>
      <w:r w:rsidRPr="00015410">
        <w:rPr>
          <w:rFonts w:hint="eastAsia"/>
          <w:color w:val="0D0D0D" w:themeColor="text1" w:themeTint="F2"/>
          <w:sz w:val="20"/>
          <w:szCs w:val="20"/>
        </w:rPr>
        <w:t>日</w:t>
      </w:r>
      <w:r w:rsidRPr="00015410">
        <w:rPr>
          <w:rFonts w:hint="eastAsia"/>
          <w:color w:val="0D0D0D" w:themeColor="text1" w:themeTint="F2"/>
          <w:sz w:val="20"/>
          <w:szCs w:val="20"/>
        </w:rPr>
        <w:t>107</w:t>
      </w:r>
      <w:r w:rsidRPr="00015410">
        <w:rPr>
          <w:rFonts w:hint="eastAsia"/>
          <w:color w:val="0D0D0D" w:themeColor="text1" w:themeTint="F2"/>
          <w:sz w:val="20"/>
          <w:szCs w:val="20"/>
        </w:rPr>
        <w:t>學年度第</w:t>
      </w:r>
      <w:r w:rsidRPr="00015410">
        <w:rPr>
          <w:rFonts w:hint="eastAsia"/>
          <w:color w:val="0D0D0D" w:themeColor="text1" w:themeTint="F2"/>
          <w:sz w:val="20"/>
          <w:szCs w:val="20"/>
        </w:rPr>
        <w:t>1</w:t>
      </w:r>
      <w:r w:rsidRPr="00015410">
        <w:rPr>
          <w:rFonts w:hint="eastAsia"/>
          <w:color w:val="0D0D0D" w:themeColor="text1" w:themeTint="F2"/>
          <w:sz w:val="20"/>
          <w:szCs w:val="20"/>
        </w:rPr>
        <w:t>次院</w:t>
      </w:r>
      <w:proofErr w:type="gramStart"/>
      <w:r w:rsidRPr="00015410">
        <w:rPr>
          <w:rFonts w:hint="eastAsia"/>
          <w:color w:val="0D0D0D" w:themeColor="text1" w:themeTint="F2"/>
          <w:sz w:val="20"/>
          <w:szCs w:val="20"/>
        </w:rPr>
        <w:t>務</w:t>
      </w:r>
      <w:proofErr w:type="gramEnd"/>
      <w:r w:rsidRPr="00015410">
        <w:rPr>
          <w:rFonts w:hint="eastAsia"/>
          <w:color w:val="0D0D0D" w:themeColor="text1" w:themeTint="F2"/>
          <w:sz w:val="20"/>
          <w:szCs w:val="20"/>
        </w:rPr>
        <w:t>會議通過</w:t>
      </w:r>
    </w:p>
    <w:p w:rsidR="00D23D96" w:rsidRPr="00015410" w:rsidRDefault="00D23D96" w:rsidP="00D23D96">
      <w:pPr>
        <w:widowControl/>
        <w:numPr>
          <w:ilvl w:val="0"/>
          <w:numId w:val="7"/>
        </w:numPr>
        <w:spacing w:beforeLines="50" w:before="180"/>
        <w:rPr>
          <w:rFonts w:ascii="標楷體" w:hAnsi="標楷體" w:cs="CIDFont+F2"/>
          <w:color w:val="0D0D0D" w:themeColor="text1" w:themeTint="F2"/>
          <w:sz w:val="24"/>
        </w:rPr>
      </w:pPr>
      <w:r w:rsidRPr="00015410">
        <w:rPr>
          <w:rFonts w:ascii="標楷體" w:hAnsi="標楷體" w:cs="CIDFont+F2" w:hint="eastAsia"/>
          <w:color w:val="0D0D0D" w:themeColor="text1" w:themeTint="F2"/>
          <w:sz w:val="24"/>
        </w:rPr>
        <w:t>本校依據發展願景「</w:t>
      </w:r>
      <w:proofErr w:type="gramStart"/>
      <w:r w:rsidRPr="00015410">
        <w:rPr>
          <w:rFonts w:ascii="標楷體" w:hAnsi="標楷體" w:cs="CIDFont+F2" w:hint="eastAsia"/>
          <w:color w:val="0D0D0D" w:themeColor="text1" w:themeTint="F2"/>
          <w:sz w:val="24"/>
        </w:rPr>
        <w:t>親產優質</w:t>
      </w:r>
      <w:proofErr w:type="gramEnd"/>
      <w:r w:rsidRPr="00015410">
        <w:rPr>
          <w:rFonts w:ascii="標楷體" w:hAnsi="標楷體" w:cs="CIDFont+F2" w:hint="eastAsia"/>
          <w:color w:val="0D0D0D" w:themeColor="text1" w:themeTint="F2"/>
          <w:sz w:val="24"/>
        </w:rPr>
        <w:t>」、「創新創業」及「海洋科技」等三大特色，將核心通識分為「海洋科技與文明發展」、「生命探索與在地關懷」、以及「創意創新與數位知能」等三大領域，</w:t>
      </w:r>
      <w:r w:rsidRPr="00015410">
        <w:rPr>
          <w:rFonts w:ascii="標楷體" w:hAnsi="標楷體" w:cs="CIDFont+F2" w:hint="eastAsia"/>
          <w:color w:val="0D0D0D" w:themeColor="text1" w:themeTint="F2"/>
          <w:sz w:val="24"/>
          <w:u w:val="single"/>
        </w:rPr>
        <w:t>博雅</w:t>
      </w:r>
      <w:r w:rsidRPr="00015410">
        <w:rPr>
          <w:rFonts w:ascii="標楷體" w:hAnsi="標楷體" w:cs="CIDFont+F2" w:hint="eastAsia"/>
          <w:color w:val="0D0D0D" w:themeColor="text1" w:themeTint="F2"/>
          <w:sz w:val="24"/>
        </w:rPr>
        <w:t>教育中心(簡稱本中心)</w:t>
      </w:r>
      <w:proofErr w:type="gramStart"/>
      <w:r w:rsidRPr="00015410">
        <w:rPr>
          <w:rFonts w:ascii="標楷體" w:hAnsi="標楷體" w:cs="CIDFont+F2" w:hint="eastAsia"/>
          <w:color w:val="0D0D0D" w:themeColor="text1" w:themeTint="F2"/>
          <w:sz w:val="24"/>
        </w:rPr>
        <w:t>爰</w:t>
      </w:r>
      <w:proofErr w:type="gramEnd"/>
      <w:r w:rsidRPr="00015410">
        <w:rPr>
          <w:rFonts w:ascii="標楷體" w:hAnsi="標楷體" w:cs="CIDFont+F2" w:hint="eastAsia"/>
          <w:color w:val="0D0D0D" w:themeColor="text1" w:themeTint="F2"/>
          <w:sz w:val="24"/>
        </w:rPr>
        <w:t>為建立本校核心通識課程品質，發展課程特色，特訂定本要點。</w:t>
      </w:r>
    </w:p>
    <w:p w:rsidR="00D23D96" w:rsidRPr="00015410" w:rsidRDefault="00D23D96" w:rsidP="00D23D96">
      <w:pPr>
        <w:widowControl/>
        <w:numPr>
          <w:ilvl w:val="0"/>
          <w:numId w:val="7"/>
        </w:numPr>
        <w:spacing w:beforeLines="50" w:before="180"/>
        <w:rPr>
          <w:rFonts w:ascii="標楷體" w:hAnsi="標楷體" w:cs="CIDFont+F2"/>
          <w:color w:val="0D0D0D" w:themeColor="text1" w:themeTint="F2"/>
          <w:sz w:val="24"/>
        </w:rPr>
      </w:pPr>
      <w:r w:rsidRPr="00015410">
        <w:rPr>
          <w:rFonts w:ascii="標楷體" w:hAnsi="標楷體" w:cs="CIDFont+F2" w:hint="eastAsia"/>
          <w:color w:val="0D0D0D" w:themeColor="text1" w:themeTint="F2"/>
          <w:sz w:val="24"/>
        </w:rPr>
        <w:t>通識課程之開授及審查，須依據本校「共同教育實施辦法」、「通識課程開授及審查要點」等相關規定辦理。</w:t>
      </w:r>
    </w:p>
    <w:p w:rsidR="00D23D96" w:rsidRPr="00015410" w:rsidRDefault="00D23D96" w:rsidP="00D23D96">
      <w:pPr>
        <w:widowControl/>
        <w:spacing w:beforeLines="50" w:before="180"/>
        <w:ind w:left="425" w:hangingChars="177" w:hanging="425"/>
        <w:rPr>
          <w:rFonts w:ascii="標楷體" w:hAnsi="標楷體" w:cs="CIDFont+F2"/>
          <w:color w:val="0D0D0D" w:themeColor="text1" w:themeTint="F2"/>
          <w:sz w:val="24"/>
        </w:rPr>
      </w:pPr>
      <w:r w:rsidRPr="00015410">
        <w:rPr>
          <w:rFonts w:ascii="標楷體" w:hAnsi="標楷體" w:cs="CIDFont+F2" w:hint="eastAsia"/>
          <w:color w:val="0D0D0D" w:themeColor="text1" w:themeTint="F2"/>
          <w:sz w:val="24"/>
        </w:rPr>
        <w:t>三、本校教師經「通識課程開授及審查要點」規定，獲審查通過開設核心通識課程後，每學期須配合進行相關教學研究活動如下：</w:t>
      </w:r>
    </w:p>
    <w:p w:rsidR="00D23D96" w:rsidRPr="00015410" w:rsidRDefault="00D23D96" w:rsidP="00D23D96">
      <w:pPr>
        <w:widowControl/>
        <w:ind w:leftChars="100" w:left="360"/>
        <w:rPr>
          <w:rFonts w:ascii="標楷體" w:hAnsi="標楷體" w:cs="CIDFont+F2"/>
          <w:color w:val="0D0D0D" w:themeColor="text1" w:themeTint="F2"/>
          <w:sz w:val="24"/>
        </w:rPr>
      </w:pPr>
      <w:r w:rsidRPr="00015410">
        <w:rPr>
          <w:rFonts w:ascii="標楷體" w:hAnsi="標楷體" w:cs="CIDFont+F2" w:hint="eastAsia"/>
          <w:color w:val="0D0D0D" w:themeColor="text1" w:themeTint="F2"/>
          <w:sz w:val="24"/>
        </w:rPr>
        <w:t>(</w:t>
      </w:r>
      <w:proofErr w:type="gramStart"/>
      <w:r w:rsidRPr="00015410">
        <w:rPr>
          <w:rFonts w:ascii="標楷體" w:hAnsi="標楷體" w:cs="CIDFont+F2" w:hint="eastAsia"/>
          <w:color w:val="0D0D0D" w:themeColor="text1" w:themeTint="F2"/>
          <w:sz w:val="24"/>
        </w:rPr>
        <w:t>一</w:t>
      </w:r>
      <w:proofErr w:type="gramEnd"/>
      <w:r w:rsidRPr="00015410">
        <w:rPr>
          <w:rFonts w:ascii="標楷體" w:hAnsi="標楷體" w:cs="CIDFont+F2" w:hint="eastAsia"/>
          <w:color w:val="0D0D0D" w:themeColor="text1" w:themeTint="F2"/>
          <w:sz w:val="24"/>
        </w:rPr>
        <w:t>)參與核心通識教師社群。</w:t>
      </w:r>
    </w:p>
    <w:p w:rsidR="00D23D96" w:rsidRPr="00015410" w:rsidRDefault="00D23D96" w:rsidP="00D23D96">
      <w:pPr>
        <w:widowControl/>
        <w:ind w:leftChars="100" w:left="360"/>
        <w:rPr>
          <w:rFonts w:ascii="標楷體" w:hAnsi="標楷體" w:cs="CIDFont+F2"/>
          <w:color w:val="0D0D0D" w:themeColor="text1" w:themeTint="F2"/>
          <w:sz w:val="24"/>
        </w:rPr>
      </w:pPr>
      <w:r w:rsidRPr="00015410">
        <w:rPr>
          <w:rFonts w:ascii="標楷體" w:hAnsi="標楷體" w:cs="CIDFont+F2" w:hint="eastAsia"/>
          <w:color w:val="0D0D0D" w:themeColor="text1" w:themeTint="F2"/>
          <w:sz w:val="24"/>
        </w:rPr>
        <w:t>(二)學期前，非該課程領域專業教師，須參與本中心辦理該科目培訓課程至少6小時</w:t>
      </w:r>
    </w:p>
    <w:p w:rsidR="00D23D96" w:rsidRPr="00015410" w:rsidRDefault="00D23D96" w:rsidP="00D23D96">
      <w:pPr>
        <w:widowControl/>
        <w:ind w:leftChars="100" w:left="360"/>
        <w:rPr>
          <w:rFonts w:ascii="標楷體" w:hAnsi="標楷體" w:cs="CIDFont+F2"/>
          <w:color w:val="0D0D0D" w:themeColor="text1" w:themeTint="F2"/>
          <w:sz w:val="24"/>
        </w:rPr>
      </w:pPr>
      <w:r w:rsidRPr="00015410">
        <w:rPr>
          <w:rFonts w:ascii="標楷體" w:hAnsi="標楷體" w:cs="CIDFont+F2" w:hint="eastAsia"/>
          <w:color w:val="0D0D0D" w:themeColor="text1" w:themeTint="F2"/>
          <w:sz w:val="24"/>
        </w:rPr>
        <w:t>(三)學期中，參與本中心舉辦之教師座談會與培力課程至少乙次。</w:t>
      </w:r>
    </w:p>
    <w:p w:rsidR="00D23D96" w:rsidRPr="00015410" w:rsidRDefault="00D23D96" w:rsidP="00D23D96">
      <w:pPr>
        <w:widowControl/>
        <w:ind w:leftChars="100" w:left="360"/>
        <w:rPr>
          <w:rFonts w:ascii="標楷體" w:hAnsi="標楷體" w:cs="CIDFont+F2"/>
          <w:color w:val="0D0D0D" w:themeColor="text1" w:themeTint="F2"/>
          <w:sz w:val="24"/>
        </w:rPr>
      </w:pPr>
      <w:r w:rsidRPr="00015410">
        <w:rPr>
          <w:rFonts w:ascii="標楷體" w:hAnsi="標楷體" w:cs="CIDFont+F2" w:hint="eastAsia"/>
          <w:color w:val="0D0D0D" w:themeColor="text1" w:themeTint="F2"/>
          <w:sz w:val="24"/>
        </w:rPr>
        <w:t>(四)學期末，辦理或參與該教師社群之期末課程成果發表或展示。</w:t>
      </w:r>
    </w:p>
    <w:p w:rsidR="00D23D96" w:rsidRPr="00015410" w:rsidRDefault="00D23D96" w:rsidP="00D23D96">
      <w:pPr>
        <w:widowControl/>
        <w:spacing w:beforeLines="50" w:before="180"/>
        <w:ind w:left="425" w:hangingChars="177" w:hanging="425"/>
        <w:rPr>
          <w:rFonts w:ascii="標楷體" w:hAnsi="標楷體" w:cs="CIDFont+F2"/>
          <w:color w:val="0D0D0D" w:themeColor="text1" w:themeTint="F2"/>
          <w:sz w:val="24"/>
        </w:rPr>
      </w:pPr>
      <w:r w:rsidRPr="00015410">
        <w:rPr>
          <w:rFonts w:ascii="標楷體" w:hAnsi="標楷體" w:cs="CIDFont+F2" w:hint="eastAsia"/>
          <w:color w:val="0D0D0D" w:themeColor="text1" w:themeTint="F2"/>
          <w:sz w:val="24"/>
        </w:rPr>
        <w:t>四、授課教師若未能配合第三點所述活動，本中心得於下學期停止該教師開設核心通識課程。</w:t>
      </w:r>
    </w:p>
    <w:p w:rsidR="00D23D96" w:rsidRPr="00015410" w:rsidRDefault="00D23D96" w:rsidP="00D23D96">
      <w:pPr>
        <w:widowControl/>
        <w:spacing w:beforeLines="50" w:before="180"/>
        <w:ind w:left="425" w:hangingChars="177" w:hanging="425"/>
        <w:rPr>
          <w:rFonts w:ascii="標楷體" w:hAnsi="標楷體" w:cs="CIDFont+F2"/>
          <w:color w:val="0D0D0D" w:themeColor="text1" w:themeTint="F2"/>
          <w:sz w:val="24"/>
        </w:rPr>
      </w:pPr>
      <w:r w:rsidRPr="00015410">
        <w:rPr>
          <w:rFonts w:ascii="標楷體" w:hAnsi="標楷體" w:cs="CIDFont+F2" w:hint="eastAsia"/>
          <w:color w:val="0D0D0D" w:themeColor="text1" w:themeTint="F2"/>
          <w:sz w:val="24"/>
        </w:rPr>
        <w:t>五、本要點</w:t>
      </w:r>
      <w:r w:rsidRPr="00015410">
        <w:rPr>
          <w:rFonts w:ascii="標楷體" w:hAnsi="標楷體" w:cs="CIDFont+F2" w:hint="eastAsia"/>
          <w:color w:val="0D0D0D" w:themeColor="text1" w:themeTint="F2"/>
          <w:sz w:val="24"/>
          <w:u w:val="single"/>
        </w:rPr>
        <w:t>經</w:t>
      </w:r>
      <w:r w:rsidR="006E6229" w:rsidRPr="00015410">
        <w:rPr>
          <w:rFonts w:ascii="標楷體" w:hAnsi="標楷體" w:cs="CIDFont+F2" w:hint="eastAsia"/>
          <w:color w:val="0D0D0D" w:themeColor="text1" w:themeTint="F2"/>
          <w:sz w:val="24"/>
          <w:u w:val="single"/>
        </w:rPr>
        <w:t>中心會議、院</w:t>
      </w:r>
      <w:proofErr w:type="gramStart"/>
      <w:r w:rsidR="006E6229" w:rsidRPr="00015410">
        <w:rPr>
          <w:rFonts w:ascii="標楷體" w:hAnsi="標楷體" w:cs="CIDFont+F2" w:hint="eastAsia"/>
          <w:color w:val="0D0D0D" w:themeColor="text1" w:themeTint="F2"/>
          <w:sz w:val="24"/>
          <w:u w:val="single"/>
        </w:rPr>
        <w:t>務</w:t>
      </w:r>
      <w:proofErr w:type="gramEnd"/>
      <w:r w:rsidR="006E6229" w:rsidRPr="00015410">
        <w:rPr>
          <w:rFonts w:ascii="標楷體" w:hAnsi="標楷體" w:cs="CIDFont+F2" w:hint="eastAsia"/>
          <w:color w:val="0D0D0D" w:themeColor="text1" w:themeTint="F2"/>
          <w:sz w:val="24"/>
          <w:u w:val="single"/>
        </w:rPr>
        <w:t>會議通過，提送教務處備查後施行;修正時亦同</w:t>
      </w:r>
      <w:r w:rsidRPr="00015410">
        <w:rPr>
          <w:rFonts w:ascii="標楷體" w:hAnsi="標楷體" w:cs="CIDFont+F2" w:hint="eastAsia"/>
          <w:color w:val="0D0D0D" w:themeColor="text1" w:themeTint="F2"/>
          <w:sz w:val="24"/>
        </w:rPr>
        <w:t>。</w:t>
      </w:r>
    </w:p>
    <w:p w:rsidR="00D45A24" w:rsidRPr="00D23D96" w:rsidRDefault="00015410" w:rsidP="00015410">
      <w:pPr>
        <w:pStyle w:val="Default"/>
        <w:jc w:val="center"/>
        <w:rPr>
          <w:rFonts w:hAnsi="標楷體"/>
          <w:color w:val="0D0D0D" w:themeColor="text1" w:themeTint="F2"/>
        </w:rPr>
      </w:pPr>
      <w:bookmarkStart w:id="0" w:name="_GoBack"/>
      <w:bookmarkEnd w:id="0"/>
    </w:p>
    <w:sectPr w:rsidR="00D45A24" w:rsidRPr="00D23D96" w:rsidSect="00015410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8A6" w:rsidRDefault="009718A6" w:rsidP="00571F68">
      <w:r>
        <w:separator/>
      </w:r>
    </w:p>
  </w:endnote>
  <w:endnote w:type="continuationSeparator" w:id="0">
    <w:p w:rsidR="009718A6" w:rsidRDefault="009718A6" w:rsidP="0057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IDFont+F2">
    <w:altName w:val="王漢宗中仿宋簡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8A6" w:rsidRDefault="009718A6" w:rsidP="00571F68">
      <w:r>
        <w:separator/>
      </w:r>
    </w:p>
  </w:footnote>
  <w:footnote w:type="continuationSeparator" w:id="0">
    <w:p w:rsidR="009718A6" w:rsidRDefault="009718A6" w:rsidP="00571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C7F"/>
    <w:multiLevelType w:val="hybridMultilevel"/>
    <w:tmpl w:val="19C4EDBE"/>
    <w:lvl w:ilvl="0" w:tplc="2ACC316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  <w:sz w:val="24"/>
        <w:szCs w:val="24"/>
      </w:rPr>
    </w:lvl>
    <w:lvl w:ilvl="1" w:tplc="445625BA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3A47FD"/>
    <w:multiLevelType w:val="hybridMultilevel"/>
    <w:tmpl w:val="EED064C8"/>
    <w:lvl w:ilvl="0" w:tplc="2ACC316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066B16"/>
    <w:multiLevelType w:val="hybridMultilevel"/>
    <w:tmpl w:val="EED064C8"/>
    <w:lvl w:ilvl="0" w:tplc="2ACC316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901147"/>
    <w:multiLevelType w:val="hybridMultilevel"/>
    <w:tmpl w:val="FB3CDD64"/>
    <w:lvl w:ilvl="0" w:tplc="CF127494">
      <w:start w:val="1"/>
      <w:numFmt w:val="taiwaneseCountingThousand"/>
      <w:lvlText w:val="第%1條"/>
      <w:lvlJc w:val="left"/>
      <w:pPr>
        <w:ind w:left="18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FE4671"/>
    <w:multiLevelType w:val="hybridMultilevel"/>
    <w:tmpl w:val="81A8A7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CFD3D10"/>
    <w:multiLevelType w:val="hybridMultilevel"/>
    <w:tmpl w:val="93CED12A"/>
    <w:lvl w:ilvl="0" w:tplc="E4482324">
      <w:start w:val="1"/>
      <w:numFmt w:val="taiwaneseCountingThousand"/>
      <w:lvlText w:val="(%1)"/>
      <w:lvlJc w:val="left"/>
      <w:pPr>
        <w:ind w:left="905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15">
      <w:start w:val="1"/>
      <w:numFmt w:val="taiwaneseCountingThousand"/>
      <w:lvlText w:val="%4、"/>
      <w:lvlJc w:val="left"/>
      <w:pPr>
        <w:ind w:left="2225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>
    <w:nsid w:val="730D125E"/>
    <w:multiLevelType w:val="hybridMultilevel"/>
    <w:tmpl w:val="EED064C8"/>
    <w:lvl w:ilvl="0" w:tplc="2ACC3162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75E1B9A"/>
    <w:multiLevelType w:val="hybridMultilevel"/>
    <w:tmpl w:val="EEF822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7822BD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CF127494">
      <w:start w:val="1"/>
      <w:numFmt w:val="taiwaneseCountingThousand"/>
      <w:lvlText w:val="第%3條"/>
      <w:lvlJc w:val="left"/>
      <w:pPr>
        <w:ind w:left="180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A81747E"/>
    <w:multiLevelType w:val="hybridMultilevel"/>
    <w:tmpl w:val="8AF8E41C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7D7377F1"/>
    <w:multiLevelType w:val="hybridMultilevel"/>
    <w:tmpl w:val="FC4EC17C"/>
    <w:lvl w:ilvl="0" w:tplc="3620B202">
      <w:start w:val="1"/>
      <w:numFmt w:val="taiwaneseCountingThousand"/>
      <w:lvlText w:val="%1、"/>
      <w:lvlJc w:val="left"/>
      <w:pPr>
        <w:ind w:left="1190" w:hanging="480"/>
      </w:pPr>
      <w:rPr>
        <w:rFonts w:ascii="標楷體" w:eastAsia="標楷體" w:hAnsi="標楷體"/>
        <w:strike w:val="0"/>
        <w:color w:val="0D0D0D" w:themeColor="text1" w:themeTint="F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7EC11430"/>
    <w:multiLevelType w:val="hybridMultilevel"/>
    <w:tmpl w:val="F3DCDCDA"/>
    <w:lvl w:ilvl="0" w:tplc="0409000F">
      <w:start w:val="1"/>
      <w:numFmt w:val="decimal"/>
      <w:lvlText w:val="%1."/>
      <w:lvlJc w:val="left"/>
      <w:pPr>
        <w:ind w:left="1385" w:hanging="480"/>
      </w:pPr>
    </w:lvl>
    <w:lvl w:ilvl="1" w:tplc="2C66AAC6">
      <w:start w:val="1"/>
      <w:numFmt w:val="taiwaneseCountingThousand"/>
      <w:lvlText w:val="(%2)"/>
      <w:lvlJc w:val="left"/>
      <w:pPr>
        <w:ind w:left="1970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1">
    <w:nsid w:val="7FDA1FA3"/>
    <w:multiLevelType w:val="hybridMultilevel"/>
    <w:tmpl w:val="B2ACF118"/>
    <w:lvl w:ilvl="0" w:tplc="0409000F">
      <w:start w:val="1"/>
      <w:numFmt w:val="decimal"/>
      <w:lvlText w:val="%1."/>
      <w:lvlJc w:val="left"/>
      <w:pPr>
        <w:ind w:left="12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96"/>
    <w:rsid w:val="00015410"/>
    <w:rsid w:val="002B781D"/>
    <w:rsid w:val="00571F68"/>
    <w:rsid w:val="005E5A7B"/>
    <w:rsid w:val="006A19FB"/>
    <w:rsid w:val="006E6229"/>
    <w:rsid w:val="00701D69"/>
    <w:rsid w:val="009718A6"/>
    <w:rsid w:val="00B11514"/>
    <w:rsid w:val="00D23D96"/>
    <w:rsid w:val="00F7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96"/>
    <w:pPr>
      <w:widowControl w:val="0"/>
    </w:pPr>
    <w:rPr>
      <w:rFonts w:ascii="Times New Roman" w:eastAsia="標楷體" w:hAnsi="Times New Roman" w:cs="Times New Roman"/>
      <w:kern w:val="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3D9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D23D96"/>
    <w:pPr>
      <w:ind w:leftChars="200" w:left="480"/>
    </w:pPr>
    <w:rPr>
      <w:rFonts w:asciiTheme="minorHAnsi" w:eastAsiaTheme="minorEastAsia" w:hAnsiTheme="minorHAnsi" w:cstheme="minorBidi"/>
      <w:kern w:val="2"/>
      <w:sz w:val="24"/>
      <w:szCs w:val="22"/>
    </w:rPr>
  </w:style>
  <w:style w:type="table" w:styleId="a4">
    <w:name w:val="Table Grid"/>
    <w:basedOn w:val="a1"/>
    <w:uiPriority w:val="39"/>
    <w:rsid w:val="00D23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71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1F68"/>
    <w:rPr>
      <w:rFonts w:ascii="Times New Roman" w:eastAsia="標楷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1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1F68"/>
    <w:rPr>
      <w:rFonts w:ascii="Times New Roman" w:eastAsia="標楷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96"/>
    <w:pPr>
      <w:widowControl w:val="0"/>
    </w:pPr>
    <w:rPr>
      <w:rFonts w:ascii="Times New Roman" w:eastAsia="標楷體" w:hAnsi="Times New Roman" w:cs="Times New Roman"/>
      <w:kern w:val="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3D9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D23D96"/>
    <w:pPr>
      <w:ind w:leftChars="200" w:left="480"/>
    </w:pPr>
    <w:rPr>
      <w:rFonts w:asciiTheme="minorHAnsi" w:eastAsiaTheme="minorEastAsia" w:hAnsiTheme="minorHAnsi" w:cstheme="minorBidi"/>
      <w:kern w:val="2"/>
      <w:sz w:val="24"/>
      <w:szCs w:val="22"/>
    </w:rPr>
  </w:style>
  <w:style w:type="table" w:styleId="a4">
    <w:name w:val="Table Grid"/>
    <w:basedOn w:val="a1"/>
    <w:uiPriority w:val="39"/>
    <w:rsid w:val="00D23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71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1F68"/>
    <w:rPr>
      <w:rFonts w:ascii="Times New Roman" w:eastAsia="標楷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1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1F68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3</cp:revision>
  <dcterms:created xsi:type="dcterms:W3CDTF">2019-03-28T04:29:00Z</dcterms:created>
  <dcterms:modified xsi:type="dcterms:W3CDTF">2019-03-28T04:38:00Z</dcterms:modified>
</cp:coreProperties>
</file>